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kern w:val="0"/>
          <w:sz w:val="32"/>
          <w:szCs w:val="32"/>
          <w:lang w:val="zh-CN" w:eastAsia="zh-CN"/>
        </w:rPr>
      </w:pPr>
      <w:r>
        <w:rPr>
          <w:rFonts w:hint="eastAsia" w:ascii="黑体" w:hAnsi="黑体" w:eastAsia="黑体" w:cs="黑体"/>
          <w:kern w:val="0"/>
          <w:sz w:val="32"/>
          <w:szCs w:val="32"/>
          <w:lang w:val="zh-CN" w:eastAsia="zh-CN"/>
        </w:rPr>
        <w:t>附件</w:t>
      </w:r>
    </w:p>
    <w:p>
      <w:pPr>
        <w:pStyle w:val="2"/>
        <w:rPr>
          <w:rFonts w:hint="default"/>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0"/>
          <w:sz w:val="44"/>
          <w:szCs w:val="44"/>
          <w:lang w:val="zh-CN"/>
        </w:rPr>
      </w:pPr>
      <w:bookmarkStart w:id="0" w:name="_GoBack"/>
      <w:r>
        <w:rPr>
          <w:rFonts w:hint="eastAsia" w:ascii="方正小标宋简体" w:hAnsi="方正小标宋简体" w:eastAsia="方正小标宋简体" w:cs="方正小标宋简体"/>
          <w:kern w:val="0"/>
          <w:sz w:val="44"/>
          <w:szCs w:val="44"/>
          <w:lang w:val="zh-CN"/>
        </w:rPr>
        <w:t>广东省纺织面料产品质量监督抽查实施细则</w:t>
      </w:r>
    </w:p>
    <w:bookmarkEnd w:id="0"/>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小标宋简体" w:hAnsi="Courier New" w:eastAsia="方正小标宋简体" w:cs="Courier New"/>
          <w:bCs/>
          <w:sz w:val="44"/>
          <w:szCs w:val="44"/>
        </w:rPr>
      </w:pPr>
    </w:p>
    <w:p>
      <w:pPr>
        <w:spacing w:line="60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一、抽样方法</w:t>
      </w:r>
    </w:p>
    <w:p>
      <w:pPr>
        <w:spacing w:line="600" w:lineRule="exact"/>
        <w:ind w:firstLine="640" w:firstLineChars="200"/>
        <w:rPr>
          <w:rFonts w:hint="default" w:ascii="Times New Roman" w:hAnsi="Times New Roman" w:cs="Times New Roman"/>
          <w:kern w:val="0"/>
          <w:sz w:val="32"/>
          <w:szCs w:val="32"/>
        </w:rPr>
      </w:pPr>
      <w:r>
        <w:rPr>
          <w:rFonts w:hint="default" w:ascii="Times New Roman" w:hAnsi="Times New Roman" w:cs="Times New Roman"/>
          <w:kern w:val="0"/>
          <w:sz w:val="32"/>
          <w:szCs w:val="32"/>
        </w:rPr>
        <w:t>以随机抽样的方式在被抽样生产者、销售者的待销产品中抽取。随机数一般可使用随机数表等方法产生。</w:t>
      </w:r>
    </w:p>
    <w:p>
      <w:pPr>
        <w:spacing w:line="600" w:lineRule="exact"/>
        <w:ind w:firstLine="640" w:firstLineChars="200"/>
        <w:rPr>
          <w:rFonts w:hint="default" w:ascii="Times New Roman" w:hAnsi="Times New Roman" w:cs="Times New Roman"/>
          <w:sz w:val="32"/>
          <w:szCs w:val="32"/>
        </w:rPr>
      </w:pPr>
      <w:r>
        <w:rPr>
          <w:rFonts w:hint="default" w:ascii="Times New Roman" w:hAnsi="Times New Roman" w:cs="Times New Roman"/>
          <w:kern w:val="0"/>
          <w:sz w:val="32"/>
          <w:szCs w:val="32"/>
        </w:rPr>
        <w:t>每批次产品抽取样品2组，每组样品1米。其中</w:t>
      </w:r>
      <w:r>
        <w:rPr>
          <w:rFonts w:hint="default" w:ascii="Times New Roman" w:hAnsi="Times New Roman" w:cs="Times New Roman"/>
          <w:kern w:val="0"/>
          <w:sz w:val="32"/>
          <w:szCs w:val="32"/>
          <w:lang w:eastAsia="zh-CN"/>
        </w:rPr>
        <w:t>，</w:t>
      </w:r>
      <w:r>
        <w:rPr>
          <w:rFonts w:hint="default" w:ascii="Times New Roman" w:hAnsi="Times New Roman" w:cs="Times New Roman"/>
          <w:kern w:val="0"/>
          <w:sz w:val="32"/>
          <w:szCs w:val="32"/>
        </w:rPr>
        <w:t>1组作为检验样品，1组作为备用样品。</w:t>
      </w:r>
    </w:p>
    <w:p>
      <w:pPr>
        <w:spacing w:line="60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二、主要检验项目及检验项目属性划分</w:t>
      </w:r>
    </w:p>
    <w:tbl>
      <w:tblPr>
        <w:tblStyle w:val="4"/>
        <w:tblW w:w="91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688"/>
        <w:gridCol w:w="2784"/>
        <w:gridCol w:w="2430"/>
        <w:gridCol w:w="643"/>
        <w:gridCol w:w="643"/>
        <w:gridCol w:w="643"/>
        <w:gridCol w:w="643"/>
        <w:gridCol w:w="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cantSplit/>
          <w:trHeight w:val="23" w:hRule="atLeast"/>
          <w:tblHeader/>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60" w:lineRule="exact"/>
              <w:jc w:val="center"/>
              <w:rPr>
                <w:rFonts w:hint="default" w:ascii="Times New Roman" w:hAnsi="Times New Roman" w:cs="Times New Roman"/>
                <w:b/>
                <w:bCs/>
                <w:sz w:val="24"/>
              </w:rPr>
            </w:pPr>
            <w:r>
              <w:rPr>
                <w:rFonts w:hint="default" w:ascii="Times New Roman" w:hAnsi="Times New Roman" w:cs="Times New Roman"/>
                <w:b/>
                <w:bCs/>
                <w:sz w:val="24"/>
              </w:rPr>
              <w:t>序号</w:t>
            </w:r>
          </w:p>
        </w:tc>
        <w:tc>
          <w:tcPr>
            <w:tcW w:w="27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60" w:lineRule="exact"/>
              <w:jc w:val="center"/>
              <w:rPr>
                <w:rFonts w:hint="default" w:ascii="Times New Roman" w:hAnsi="Times New Roman" w:cs="Times New Roman"/>
                <w:b/>
                <w:bCs/>
                <w:sz w:val="24"/>
              </w:rPr>
            </w:pPr>
            <w:r>
              <w:rPr>
                <w:rFonts w:hint="default" w:ascii="Times New Roman" w:hAnsi="Times New Roman" w:cs="Times New Roman"/>
                <w:b/>
                <w:bCs/>
                <w:sz w:val="24"/>
              </w:rPr>
              <w:t>检验项目</w:t>
            </w:r>
          </w:p>
        </w:tc>
        <w:tc>
          <w:tcPr>
            <w:tcW w:w="24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60" w:lineRule="exact"/>
              <w:jc w:val="center"/>
              <w:rPr>
                <w:rFonts w:hint="default" w:ascii="Times New Roman" w:hAnsi="Times New Roman" w:cs="Times New Roman"/>
                <w:b/>
                <w:bCs/>
                <w:sz w:val="24"/>
              </w:rPr>
            </w:pPr>
            <w:r>
              <w:rPr>
                <w:rFonts w:hint="default" w:ascii="Times New Roman" w:hAnsi="Times New Roman" w:cs="Times New Roman"/>
                <w:b/>
                <w:bCs/>
                <w:sz w:val="24"/>
              </w:rPr>
              <w:t>检验方法</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60" w:lineRule="exact"/>
              <w:jc w:val="center"/>
              <w:rPr>
                <w:rFonts w:hint="default" w:ascii="Times New Roman" w:hAnsi="Times New Roman" w:cs="Times New Roman"/>
                <w:b/>
                <w:bCs/>
                <w:sz w:val="24"/>
              </w:rPr>
            </w:pPr>
            <w:r>
              <w:rPr>
                <w:rFonts w:hint="default" w:ascii="Times New Roman" w:hAnsi="Times New Roman" w:cs="Times New Roman"/>
                <w:b/>
                <w:bCs/>
                <w:sz w:val="24"/>
              </w:rPr>
              <w:t>强制性</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60" w:lineRule="exact"/>
              <w:jc w:val="center"/>
              <w:rPr>
                <w:rFonts w:hint="default" w:ascii="Times New Roman" w:hAnsi="Times New Roman" w:cs="Times New Roman"/>
                <w:b/>
                <w:bCs/>
                <w:sz w:val="24"/>
              </w:rPr>
            </w:pPr>
            <w:r>
              <w:rPr>
                <w:rFonts w:hint="default" w:ascii="Times New Roman" w:hAnsi="Times New Roman" w:cs="Times New Roman"/>
                <w:b/>
                <w:bCs/>
                <w:sz w:val="24"/>
              </w:rPr>
              <w:t>非强制性</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60" w:lineRule="exact"/>
              <w:jc w:val="center"/>
              <w:rPr>
                <w:rFonts w:hint="default" w:ascii="Times New Roman" w:hAnsi="Times New Roman" w:cs="Times New Roman"/>
                <w:b/>
                <w:bCs/>
                <w:sz w:val="24"/>
              </w:rPr>
            </w:pPr>
            <w:r>
              <w:rPr>
                <w:rFonts w:hint="default" w:ascii="Times New Roman" w:hAnsi="Times New Roman" w:cs="Times New Roman"/>
                <w:b/>
                <w:bCs/>
                <w:sz w:val="24"/>
              </w:rPr>
              <w:t>重要项</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60" w:lineRule="exact"/>
              <w:jc w:val="center"/>
              <w:rPr>
                <w:rFonts w:hint="default" w:ascii="Times New Roman" w:hAnsi="Times New Roman" w:cs="Times New Roman"/>
                <w:b/>
                <w:bCs/>
                <w:sz w:val="24"/>
              </w:rPr>
            </w:pPr>
            <w:r>
              <w:rPr>
                <w:rFonts w:hint="default" w:ascii="Times New Roman" w:hAnsi="Times New Roman" w:cs="Times New Roman"/>
                <w:b/>
                <w:bCs/>
                <w:sz w:val="24"/>
              </w:rPr>
              <w:t>较重要项</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spacing w:line="260" w:lineRule="exact"/>
              <w:jc w:val="center"/>
              <w:rPr>
                <w:rFonts w:hint="default" w:ascii="Times New Roman" w:hAnsi="Times New Roman" w:cs="Times New Roman"/>
                <w:b/>
                <w:bCs/>
                <w:sz w:val="24"/>
              </w:rPr>
            </w:pPr>
            <w:r>
              <w:rPr>
                <w:rFonts w:hint="default" w:ascii="Times New Roman" w:hAnsi="Times New Roman" w:cs="Times New Roman"/>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widowControl/>
              <w:tabs>
                <w:tab w:val="left" w:pos="310"/>
              </w:tabs>
              <w:spacing w:line="400" w:lineRule="exact"/>
              <w:ind w:firstLine="0" w:firstLineChars="0"/>
              <w:jc w:val="center"/>
              <w:rPr>
                <w:rFonts w:hint="default" w:ascii="Times New Roman" w:hAnsi="Times New Roman" w:cs="Times New Roman"/>
                <w:sz w:val="24"/>
              </w:rPr>
            </w:pPr>
            <w:r>
              <w:rPr>
                <w:rFonts w:hint="default" w:ascii="Times New Roman" w:hAnsi="Times New Roman" w:cs="Times New Roman"/>
                <w:sz w:val="24"/>
              </w:rPr>
              <w:t>1</w:t>
            </w:r>
          </w:p>
        </w:tc>
        <w:tc>
          <w:tcPr>
            <w:tcW w:w="27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甲醛含量</w:t>
            </w:r>
          </w:p>
        </w:tc>
        <w:tc>
          <w:tcPr>
            <w:tcW w:w="24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GB/T 2912.1-2009</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adjustRightInd w:val="0"/>
              <w:snapToGrid w:val="0"/>
              <w:spacing w:line="400" w:lineRule="exact"/>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widowControl/>
              <w:tabs>
                <w:tab w:val="left" w:pos="310"/>
              </w:tabs>
              <w:spacing w:line="400" w:lineRule="exact"/>
              <w:ind w:firstLine="0" w:firstLineChars="0"/>
              <w:jc w:val="center"/>
              <w:rPr>
                <w:rFonts w:hint="default" w:ascii="Times New Roman" w:hAnsi="Times New Roman" w:cs="Times New Roman"/>
                <w:sz w:val="24"/>
              </w:rPr>
            </w:pPr>
            <w:r>
              <w:rPr>
                <w:rFonts w:hint="default" w:ascii="Times New Roman" w:hAnsi="Times New Roman" w:cs="Times New Roman"/>
                <w:sz w:val="24"/>
              </w:rPr>
              <w:t>2</w:t>
            </w:r>
          </w:p>
        </w:tc>
        <w:tc>
          <w:tcPr>
            <w:tcW w:w="27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pH值</w:t>
            </w:r>
          </w:p>
        </w:tc>
        <w:tc>
          <w:tcPr>
            <w:tcW w:w="24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GB/T 7573-2009</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adjustRightInd w:val="0"/>
              <w:snapToGrid w:val="0"/>
              <w:spacing w:line="400" w:lineRule="exact"/>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widowControl/>
              <w:tabs>
                <w:tab w:val="left" w:pos="310"/>
              </w:tabs>
              <w:spacing w:line="400" w:lineRule="exact"/>
              <w:ind w:firstLine="0" w:firstLineChars="0"/>
              <w:jc w:val="center"/>
              <w:rPr>
                <w:rFonts w:hint="default" w:ascii="Times New Roman" w:hAnsi="Times New Roman" w:cs="Times New Roman"/>
                <w:sz w:val="24"/>
              </w:rPr>
            </w:pPr>
            <w:r>
              <w:rPr>
                <w:rFonts w:hint="default" w:ascii="Times New Roman" w:hAnsi="Times New Roman" w:cs="Times New Roman"/>
                <w:sz w:val="24"/>
              </w:rPr>
              <w:t>3</w:t>
            </w:r>
          </w:p>
        </w:tc>
        <w:tc>
          <w:tcPr>
            <w:tcW w:w="27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可分解致癌芳香胺染料</w:t>
            </w:r>
          </w:p>
        </w:tc>
        <w:tc>
          <w:tcPr>
            <w:tcW w:w="24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spacing w:line="400" w:lineRule="exact"/>
              <w:jc w:val="center"/>
              <w:rPr>
                <w:rFonts w:hint="default" w:ascii="Times New Roman" w:hAnsi="Times New Roman" w:cs="Times New Roman"/>
                <w:sz w:val="24"/>
              </w:rPr>
            </w:pPr>
            <w:r>
              <w:rPr>
                <w:rFonts w:hint="default" w:ascii="Times New Roman" w:hAnsi="Times New Roman" w:cs="Times New Roman"/>
                <w:sz w:val="24"/>
              </w:rPr>
              <w:t>GB/T 17592-2011</w:t>
            </w:r>
          </w:p>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GB/T 23344-2009</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adjustRightInd w:val="0"/>
              <w:snapToGrid w:val="0"/>
              <w:spacing w:line="400" w:lineRule="exact"/>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widowControl/>
              <w:tabs>
                <w:tab w:val="left" w:pos="310"/>
              </w:tabs>
              <w:spacing w:line="400" w:lineRule="exact"/>
              <w:ind w:firstLine="0" w:firstLineChars="0"/>
              <w:jc w:val="center"/>
              <w:rPr>
                <w:rFonts w:hint="default" w:ascii="Times New Roman" w:hAnsi="Times New Roman" w:cs="Times New Roman"/>
                <w:sz w:val="24"/>
              </w:rPr>
            </w:pPr>
            <w:r>
              <w:rPr>
                <w:rFonts w:hint="default" w:ascii="Times New Roman" w:hAnsi="Times New Roman" w:cs="Times New Roman"/>
                <w:sz w:val="24"/>
              </w:rPr>
              <w:t>4</w:t>
            </w:r>
          </w:p>
        </w:tc>
        <w:tc>
          <w:tcPr>
            <w:tcW w:w="27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耐水色牢度</w:t>
            </w:r>
          </w:p>
        </w:tc>
        <w:tc>
          <w:tcPr>
            <w:tcW w:w="24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GB/T 5713-2013</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adjustRightInd w:val="0"/>
              <w:snapToGrid w:val="0"/>
              <w:spacing w:line="400" w:lineRule="exact"/>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widowControl/>
              <w:tabs>
                <w:tab w:val="left" w:pos="310"/>
              </w:tabs>
              <w:spacing w:line="400" w:lineRule="exact"/>
              <w:ind w:firstLine="0" w:firstLineChars="0"/>
              <w:jc w:val="center"/>
              <w:rPr>
                <w:rFonts w:hint="default" w:ascii="Times New Roman" w:hAnsi="Times New Roman" w:cs="Times New Roman"/>
                <w:sz w:val="24"/>
              </w:rPr>
            </w:pPr>
            <w:r>
              <w:rPr>
                <w:rFonts w:hint="default" w:ascii="Times New Roman" w:hAnsi="Times New Roman" w:cs="Times New Roman"/>
                <w:sz w:val="24"/>
              </w:rPr>
              <w:t>5</w:t>
            </w:r>
          </w:p>
        </w:tc>
        <w:tc>
          <w:tcPr>
            <w:tcW w:w="27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耐酸汗渍色牢度</w:t>
            </w:r>
          </w:p>
        </w:tc>
        <w:tc>
          <w:tcPr>
            <w:tcW w:w="24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GB/T 3922-2013</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adjustRightInd w:val="0"/>
              <w:snapToGrid w:val="0"/>
              <w:spacing w:line="400" w:lineRule="exact"/>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widowControl/>
              <w:tabs>
                <w:tab w:val="left" w:pos="310"/>
              </w:tabs>
              <w:spacing w:line="400" w:lineRule="exact"/>
              <w:ind w:firstLine="0" w:firstLineChars="0"/>
              <w:jc w:val="center"/>
              <w:rPr>
                <w:rFonts w:hint="default" w:ascii="Times New Roman" w:hAnsi="Times New Roman" w:cs="Times New Roman"/>
                <w:sz w:val="24"/>
              </w:rPr>
            </w:pPr>
            <w:r>
              <w:rPr>
                <w:rFonts w:hint="default" w:ascii="Times New Roman" w:hAnsi="Times New Roman" w:cs="Times New Roman"/>
                <w:sz w:val="24"/>
              </w:rPr>
              <w:t>6</w:t>
            </w:r>
          </w:p>
        </w:tc>
        <w:tc>
          <w:tcPr>
            <w:tcW w:w="27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耐碱汗渍色牢度</w:t>
            </w:r>
          </w:p>
        </w:tc>
        <w:tc>
          <w:tcPr>
            <w:tcW w:w="24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GB/T 3922-2013</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adjustRightInd w:val="0"/>
              <w:snapToGrid w:val="0"/>
              <w:spacing w:line="400" w:lineRule="exact"/>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widowControl/>
              <w:tabs>
                <w:tab w:val="left" w:pos="310"/>
              </w:tabs>
              <w:spacing w:line="400" w:lineRule="exact"/>
              <w:ind w:firstLine="0" w:firstLineChars="0"/>
              <w:jc w:val="center"/>
              <w:rPr>
                <w:rFonts w:hint="default" w:ascii="Times New Roman" w:hAnsi="Times New Roman" w:cs="Times New Roman"/>
                <w:sz w:val="24"/>
              </w:rPr>
            </w:pPr>
            <w:r>
              <w:rPr>
                <w:rFonts w:hint="default" w:ascii="Times New Roman" w:hAnsi="Times New Roman" w:cs="Times New Roman"/>
                <w:sz w:val="24"/>
              </w:rPr>
              <w:t>7</w:t>
            </w:r>
          </w:p>
        </w:tc>
        <w:tc>
          <w:tcPr>
            <w:tcW w:w="27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耐干摩擦色牢度</w:t>
            </w:r>
          </w:p>
        </w:tc>
        <w:tc>
          <w:tcPr>
            <w:tcW w:w="24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GB/T 3920-2008</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adjustRightInd w:val="0"/>
              <w:snapToGrid w:val="0"/>
              <w:spacing w:line="400" w:lineRule="exact"/>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widowControl/>
              <w:tabs>
                <w:tab w:val="left" w:pos="310"/>
              </w:tabs>
              <w:spacing w:line="400" w:lineRule="exact"/>
              <w:ind w:firstLine="0" w:firstLineChars="0"/>
              <w:jc w:val="center"/>
              <w:rPr>
                <w:rFonts w:hint="default" w:ascii="Times New Roman" w:hAnsi="Times New Roman" w:cs="Times New Roman"/>
                <w:sz w:val="24"/>
              </w:rPr>
            </w:pPr>
            <w:r>
              <w:rPr>
                <w:rFonts w:hint="default" w:ascii="Times New Roman" w:hAnsi="Times New Roman" w:cs="Times New Roman"/>
                <w:sz w:val="24"/>
              </w:rPr>
              <w:t>8</w:t>
            </w:r>
          </w:p>
        </w:tc>
        <w:tc>
          <w:tcPr>
            <w:tcW w:w="27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耐湿摩擦色牢度</w:t>
            </w:r>
          </w:p>
        </w:tc>
        <w:tc>
          <w:tcPr>
            <w:tcW w:w="24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400" w:lineRule="exact"/>
              <w:jc w:val="center"/>
              <w:rPr>
                <w:rFonts w:hint="default" w:ascii="Times New Roman" w:hAnsi="Times New Roman" w:cs="Times New Roman"/>
                <w:spacing w:val="-6"/>
                <w:sz w:val="24"/>
              </w:rPr>
            </w:pPr>
            <w:r>
              <w:rPr>
                <w:rFonts w:hint="default" w:ascii="Times New Roman" w:hAnsi="Times New Roman" w:cs="Times New Roman"/>
                <w:sz w:val="24"/>
              </w:rPr>
              <w:t>GB/T 3920-2008</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spacing w:line="400" w:lineRule="exact"/>
              <w:jc w:val="center"/>
              <w:rPr>
                <w:rFonts w:hint="default" w:ascii="Times New Roman" w:hAnsi="Times New Roman" w:cs="Times New Roman"/>
                <w:sz w:val="24"/>
              </w:rPr>
            </w:pPr>
            <w:r>
              <w:rPr>
                <w:rFonts w:hint="default" w:ascii="Times New Roman" w:hAnsi="Times New Roman" w:cs="Times New Roman"/>
                <w:sz w:val="24"/>
              </w:rPr>
              <w:t>●</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adjustRightInd w:val="0"/>
              <w:snapToGrid w:val="0"/>
              <w:spacing w:line="400" w:lineRule="exact"/>
              <w:jc w:val="center"/>
              <w:rPr>
                <w:rFonts w:hint="default" w:ascii="Times New Roman" w:hAnsi="Times New Roman" w:cs="Times New Roman"/>
                <w:sz w:val="24"/>
              </w:rPr>
            </w:pPr>
          </w:p>
        </w:tc>
      </w:tr>
    </w:tbl>
    <w:p>
      <w:pPr>
        <w:widowControl/>
        <w:snapToGrid w:val="0"/>
        <w:spacing w:line="400" w:lineRule="exact"/>
        <w:jc w:val="left"/>
        <w:rPr>
          <w:rFonts w:hint="default" w:ascii="Times New Roman" w:hAnsi="Times New Roman" w:cs="Times New Roman"/>
          <w:color w:val="000000"/>
          <w:sz w:val="24"/>
        </w:rPr>
      </w:pPr>
      <w:r>
        <w:rPr>
          <w:rFonts w:hint="default" w:ascii="Times New Roman" w:hAnsi="Times New Roman" w:cs="Times New Roman"/>
          <w:color w:val="000000"/>
          <w:sz w:val="24"/>
        </w:rPr>
        <w:t>备注：</w:t>
      </w:r>
    </w:p>
    <w:p>
      <w:pPr>
        <w:widowControl/>
        <w:snapToGrid w:val="0"/>
        <w:spacing w:line="400" w:lineRule="exact"/>
        <w:ind w:firstLine="480" w:firstLineChars="200"/>
        <w:jc w:val="left"/>
        <w:rPr>
          <w:rFonts w:hint="default" w:ascii="Times New Roman" w:hAnsi="Times New Roman" w:cs="Times New Roman"/>
          <w:color w:val="000000"/>
          <w:sz w:val="24"/>
        </w:rPr>
      </w:pPr>
      <w:r>
        <w:rPr>
          <w:rFonts w:hint="default" w:ascii="Times New Roman" w:hAnsi="Times New Roman" w:cs="Times New Roman"/>
          <w:color w:val="000000"/>
          <w:sz w:val="24"/>
        </w:rPr>
        <w:t>1.本色及漂白产品不考核色牢度、可分解致癌芳香胺染料。</w:t>
      </w:r>
    </w:p>
    <w:p>
      <w:pPr>
        <w:widowControl/>
        <w:snapToGrid w:val="0"/>
        <w:spacing w:line="400" w:lineRule="exact"/>
        <w:ind w:firstLine="480" w:firstLineChars="200"/>
        <w:jc w:val="left"/>
        <w:rPr>
          <w:rFonts w:hint="default" w:ascii="Times New Roman" w:hAnsi="Times New Roman" w:cs="Times New Roman"/>
          <w:color w:val="000000"/>
          <w:sz w:val="24"/>
        </w:rPr>
      </w:pPr>
      <w:r>
        <w:rPr>
          <w:rFonts w:hint="default" w:ascii="Times New Roman" w:hAnsi="Times New Roman" w:cs="Times New Roman"/>
          <w:color w:val="000000"/>
          <w:sz w:val="24"/>
        </w:rPr>
        <w:t>2.色牢度采用单纤维贴衬。</w:t>
      </w:r>
    </w:p>
    <w:p>
      <w:pPr>
        <w:widowControl/>
        <w:snapToGrid w:val="0"/>
        <w:spacing w:line="400" w:lineRule="exact"/>
        <w:ind w:firstLine="480" w:firstLineChars="200"/>
        <w:jc w:val="left"/>
        <w:rPr>
          <w:rFonts w:hint="default" w:ascii="Times New Roman" w:hAnsi="Times New Roman" w:cs="Times New Roman"/>
          <w:color w:val="000000"/>
          <w:sz w:val="24"/>
        </w:rPr>
      </w:pPr>
      <w:r>
        <w:rPr>
          <w:rFonts w:hint="default" w:ascii="Times New Roman" w:hAnsi="Times New Roman" w:cs="Times New Roman"/>
          <w:color w:val="000000"/>
          <w:sz w:val="24"/>
        </w:rPr>
        <w:t>3.pH值的测定用0.1 mol/L 氯化钾溶液作为萃取介质。</w:t>
      </w:r>
    </w:p>
    <w:p>
      <w:pPr>
        <w:widowControl/>
        <w:snapToGrid w:val="0"/>
        <w:spacing w:line="400" w:lineRule="exact"/>
        <w:ind w:firstLine="480" w:firstLineChars="200"/>
        <w:jc w:val="left"/>
        <w:rPr>
          <w:rFonts w:hint="default" w:ascii="Times New Roman" w:hAnsi="Times New Roman" w:cs="Times New Roman"/>
          <w:color w:val="000000"/>
          <w:sz w:val="24"/>
        </w:rPr>
      </w:pPr>
      <w:r>
        <w:rPr>
          <w:rFonts w:hint="default" w:ascii="Times New Roman" w:hAnsi="Times New Roman" w:cs="Times New Roman"/>
          <w:color w:val="000000"/>
          <w:sz w:val="24"/>
        </w:rPr>
        <w:t>4．安全类别按产品实际用途确定，对不能确认产品类别的按GB 18401-2010 C类考核。</w:t>
      </w:r>
    </w:p>
    <w:p>
      <w:pPr>
        <w:spacing w:line="600" w:lineRule="exact"/>
        <w:ind w:firstLine="707" w:firstLineChars="221"/>
        <w:rPr>
          <w:rFonts w:ascii="Times New Roman" w:hAnsi="Times New Roman" w:eastAsia="黑体" w:cs="Times New Roman"/>
          <w:sz w:val="32"/>
          <w:szCs w:val="32"/>
        </w:rPr>
      </w:pPr>
      <w:r>
        <w:rPr>
          <w:rFonts w:hint="eastAsia" w:ascii="Times New Roman" w:hAnsi="Times New Roman" w:eastAsia="黑体" w:cs="Times New Roman"/>
          <w:sz w:val="32"/>
          <w:szCs w:val="32"/>
        </w:rPr>
        <w:t>三、判定规则</w:t>
      </w:r>
    </w:p>
    <w:p>
      <w:pPr>
        <w:keepNext w:val="0"/>
        <w:keepLines w:val="0"/>
        <w:pageBreakBefore w:val="0"/>
        <w:widowControl w:val="0"/>
        <w:kinsoku/>
        <w:wordWrap/>
        <w:overflowPunct/>
        <w:topLinePunct w:val="0"/>
        <w:bidi w:val="0"/>
        <w:adjustRightInd/>
        <w:snapToGrid/>
        <w:spacing w:line="560" w:lineRule="exact"/>
        <w:ind w:firstLine="566" w:firstLineChars="177"/>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（一）依据标准</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GB 18401-2010《国家纺织产品基本安全技术规范》</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GB 31701-2015《婴幼儿及儿童纺织产品安全技术规范》</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3920-2008《纺织品色牢度试验耐摩擦色牢度》</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3922-2013《纺织品色牢度试验耐汗渍色牢度》</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5713-2013《纺织品色牢度试验耐水色牢度》</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7573-2009《纺织品水萃取液pH值的测定》</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2912.1-2009《纺织品甲醛的测定第1部分:游离和水解的甲醛(水萃取法)》</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17592-2011《纺织品禁用偶氮染料的测定》</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23344-2009《纺织品 4-氨基偶氮苯的测定》</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相关的法律法规、部门规章和规范、现行有效的企业标准、团体标准、地方标准及产品明示质量要求。</w:t>
      </w:r>
    </w:p>
    <w:p>
      <w:pPr>
        <w:keepNext w:val="0"/>
        <w:keepLines w:val="0"/>
        <w:pageBreakBefore w:val="0"/>
        <w:widowControl w:val="0"/>
        <w:kinsoku/>
        <w:wordWrap/>
        <w:overflowPunct/>
        <w:topLinePunct w:val="0"/>
        <w:bidi w:val="0"/>
        <w:adjustRightInd/>
        <w:snapToGrid/>
        <w:spacing w:line="560" w:lineRule="exact"/>
        <w:ind w:firstLine="425" w:firstLineChars="133"/>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（二）判定原则</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当被检样品未能提供有效的企业标准时，按相关国家或行业标准进行判定；</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按照产品质量相关法律法规的规定判定。</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pPr>
        <w:rPr>
          <w:b/>
          <w:bCs/>
        </w:rPr>
      </w:pP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8E49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jc w:val="center"/>
      <w:outlineLvl w:val="0"/>
    </w:pPr>
    <w:rPr>
      <w:rFonts w:ascii="方正小标宋简体" w:eastAsia="方正小标宋简体"/>
      <w:kern w:val="44"/>
      <w:sz w:val="38"/>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5">
    <w:name w:val="列出段落2"/>
    <w:qFormat/>
    <w:uiPriority w:val="0"/>
    <w:pPr>
      <w:widowControl w:val="0"/>
      <w:ind w:firstLine="420" w:firstLineChars="200"/>
      <w:jc w:val="both"/>
    </w:pPr>
    <w:rPr>
      <w:rFonts w:ascii="Times New Roman" w:hAnsi="Times New Roman" w:eastAsia="仿宋_GB2312" w:cs="Times New Roman"/>
      <w:kern w:val="2"/>
      <w:sz w:val="30"/>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2022-11-21T06:29:14Z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