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Cs/>
          <w:sz w:val="32"/>
          <w:szCs w:val="32"/>
        </w:rPr>
      </w:pPr>
      <w:r>
        <w:rPr>
          <w:rFonts w:hint="eastAsia" w:ascii="黑体" w:hAnsi="黑体" w:eastAsia="黑体" w:cs="黑体"/>
          <w:bCs/>
          <w:sz w:val="32"/>
          <w:szCs w:val="32"/>
        </w:rPr>
        <w:t>附件</w:t>
      </w:r>
    </w:p>
    <w:p>
      <w:pPr>
        <w:pStyle w:val="2"/>
        <w:numPr>
          <w:ilvl w:val="0"/>
          <w:numId w:val="0"/>
        </w:numPr>
        <w:ind w:left="0" w:firstLine="0"/>
        <w:rPr>
          <w:rFonts w:hint="eastAsia" w:ascii="Times New Roman" w:hAnsi="Times New Roman" w:eastAsia="黑体"/>
          <w:bCs/>
          <w:sz w:val="30"/>
          <w:szCs w:val="44"/>
        </w:rPr>
      </w:pPr>
    </w:p>
    <w:p>
      <w:pPr>
        <w:spacing w:line="600" w:lineRule="exact"/>
        <w:jc w:val="center"/>
        <w:rPr>
          <w:rFonts w:hint="eastAsia" w:ascii="方正小标宋简体" w:hAnsi="Courier New" w:eastAsia="方正小标宋简体" w:cs="Courier New"/>
          <w:bCs/>
          <w:sz w:val="44"/>
          <w:szCs w:val="44"/>
          <w:lang w:eastAsia="zh-CN"/>
        </w:rPr>
      </w:pPr>
      <w:bookmarkStart w:id="0" w:name="_GoBack"/>
      <w:r>
        <w:rPr>
          <w:rFonts w:hint="eastAsia" w:ascii="方正小标宋简体" w:hAnsi="Courier New" w:eastAsia="方正小标宋简体" w:cs="Courier New"/>
          <w:bCs/>
          <w:sz w:val="44"/>
          <w:szCs w:val="44"/>
        </w:rPr>
        <w:t>广东省广播电视传输设备</w:t>
      </w:r>
      <w:r>
        <w:rPr>
          <w:rFonts w:hint="eastAsia" w:ascii="方正小标宋简体" w:hAnsi="Courier New" w:eastAsia="方正小标宋简体" w:cs="Courier New"/>
          <w:bCs/>
          <w:sz w:val="44"/>
          <w:szCs w:val="44"/>
          <w:lang w:eastAsia="zh-CN"/>
        </w:rPr>
        <w:t>产品</w:t>
      </w:r>
    </w:p>
    <w:p>
      <w:pPr>
        <w:spacing w:line="600" w:lineRule="exact"/>
        <w:jc w:val="center"/>
        <w:rPr>
          <w:rFonts w:ascii="方正小标宋简体" w:hAnsi="Courier New" w:eastAsia="方正小标宋简体" w:cs="Courier New"/>
          <w:bCs/>
          <w:sz w:val="44"/>
          <w:szCs w:val="44"/>
        </w:rPr>
      </w:pPr>
      <w:r>
        <w:rPr>
          <w:rFonts w:hint="eastAsia" w:ascii="方正小标宋简体" w:hAnsi="Courier New" w:eastAsia="方正小标宋简体" w:cs="Courier New"/>
          <w:bCs/>
          <w:sz w:val="44"/>
          <w:szCs w:val="44"/>
        </w:rPr>
        <w:t>质量监督抽查实施细则</w:t>
      </w:r>
    </w:p>
    <w:bookmarkEnd w:id="0"/>
    <w:p>
      <w:pPr>
        <w:spacing w:line="600" w:lineRule="exact"/>
        <w:jc w:val="center"/>
        <w:rPr>
          <w:rFonts w:ascii="方正小标宋简体" w:hAnsi="Courier New" w:eastAsia="方正小标宋简体" w:cs="Courier New"/>
          <w:bCs/>
          <w:sz w:val="44"/>
          <w:szCs w:val="44"/>
        </w:rPr>
      </w:pPr>
    </w:p>
    <w:p>
      <w:pPr>
        <w:spacing w:line="600" w:lineRule="exact"/>
        <w:ind w:firstLine="640" w:firstLineChars="200"/>
        <w:rPr>
          <w:rFonts w:ascii="黑体" w:hAnsi="黑体" w:eastAsia="黑体" w:cs="Courier New"/>
          <w:sz w:val="32"/>
          <w:szCs w:val="32"/>
        </w:rPr>
      </w:pPr>
      <w:r>
        <w:rPr>
          <w:rFonts w:hint="eastAsia" w:ascii="黑体" w:hAnsi="黑体" w:eastAsia="黑体" w:cs="Courier New"/>
          <w:sz w:val="32"/>
          <w:szCs w:val="32"/>
        </w:rPr>
        <w:t>一、抽样方法</w:t>
      </w:r>
    </w:p>
    <w:p>
      <w:pPr>
        <w:autoSpaceDE w:val="0"/>
        <w:autoSpaceDN w:val="0"/>
        <w:spacing w:line="60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以随机抽样的方式在被抽样经营者</w:t>
      </w:r>
      <w:r>
        <w:rPr>
          <w:rFonts w:hint="eastAsia" w:ascii="仿宋_GB2312" w:hAnsi="仿宋_GB2312" w:eastAsia="仿宋_GB2312" w:cs="仿宋_GB2312"/>
          <w:kern w:val="0"/>
          <w:sz w:val="32"/>
          <w:szCs w:val="32"/>
        </w:rPr>
        <w:t>已</w:t>
      </w:r>
      <w:r>
        <w:rPr>
          <w:rFonts w:ascii="仿宋_GB2312" w:hAnsi="仿宋_GB2312" w:eastAsia="仿宋_GB2312" w:cs="仿宋_GB2312"/>
          <w:kern w:val="0"/>
          <w:sz w:val="32"/>
          <w:szCs w:val="32"/>
        </w:rPr>
        <w:t>检验</w:t>
      </w:r>
      <w:r>
        <w:rPr>
          <w:rFonts w:hint="eastAsia" w:ascii="仿宋_GB2312" w:hAnsi="仿宋_GB2312" w:eastAsia="仿宋_GB2312" w:cs="仿宋_GB2312"/>
          <w:kern w:val="0"/>
          <w:sz w:val="32"/>
          <w:szCs w:val="32"/>
        </w:rPr>
        <w:t>合格的</w:t>
      </w:r>
      <w:r>
        <w:rPr>
          <w:rFonts w:ascii="仿宋_GB2312" w:hAnsi="仿宋_GB2312" w:eastAsia="仿宋_GB2312" w:cs="仿宋_GB2312"/>
          <w:kern w:val="0"/>
          <w:sz w:val="32"/>
          <w:szCs w:val="32"/>
        </w:rPr>
        <w:t>产品中抽取。</w:t>
      </w:r>
    </w:p>
    <w:p>
      <w:pPr>
        <w:autoSpaceDE w:val="0"/>
        <w:autoSpaceDN w:val="0"/>
        <w:spacing w:line="60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随机数一般可使用随机数表等方法产生。</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抽查样品基数、抽样数量和方法如下：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firstLine="0"/>
        <w:textAlignment w:val="auto"/>
        <w:rPr>
          <w:rFonts w:hint="default" w:ascii="Times New Roman" w:hAnsi="Times New Roman" w:eastAsia="黑体" w:cs="Times New Roman"/>
          <w:kern w:val="44"/>
        </w:rPr>
      </w:pPr>
    </w:p>
    <w:tbl>
      <w:tblPr>
        <w:tblStyle w:val="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3255"/>
        <w:gridCol w:w="4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jc w:val="center"/>
        </w:trPr>
        <w:tc>
          <w:tcPr>
            <w:tcW w:w="809" w:type="dxa"/>
            <w:noWrap w:val="0"/>
            <w:vAlign w:val="center"/>
          </w:tcPr>
          <w:p>
            <w:pPr>
              <w:jc w:val="center"/>
              <w:rPr>
                <w:rFonts w:hint="default" w:ascii="Times New Roman" w:hAnsi="Times New Roman" w:eastAsia="仿宋_GB2312" w:cs="Times New Roman"/>
                <w:bCs/>
                <w:sz w:val="24"/>
                <w:szCs w:val="24"/>
              </w:rPr>
            </w:pPr>
            <w:r>
              <w:rPr>
                <w:rFonts w:hint="default" w:ascii="Times New Roman" w:hAnsi="Times New Roman" w:eastAsia="仿宋_GB2312" w:cs="Times New Roman"/>
                <w:bCs/>
                <w:sz w:val="24"/>
                <w:szCs w:val="24"/>
              </w:rPr>
              <w:t>序号</w:t>
            </w:r>
          </w:p>
        </w:tc>
        <w:tc>
          <w:tcPr>
            <w:tcW w:w="3255" w:type="dxa"/>
            <w:noWrap w:val="0"/>
            <w:vAlign w:val="center"/>
          </w:tcPr>
          <w:p>
            <w:pPr>
              <w:jc w:val="center"/>
              <w:rPr>
                <w:rFonts w:hint="default" w:ascii="Times New Roman" w:hAnsi="Times New Roman" w:eastAsia="仿宋_GB2312" w:cs="Times New Roman"/>
                <w:bCs/>
                <w:sz w:val="24"/>
                <w:szCs w:val="24"/>
              </w:rPr>
            </w:pPr>
            <w:r>
              <w:rPr>
                <w:rFonts w:hint="default" w:ascii="Times New Roman" w:hAnsi="Times New Roman" w:eastAsia="仿宋_GB2312" w:cs="Times New Roman"/>
                <w:bCs/>
                <w:sz w:val="24"/>
                <w:szCs w:val="24"/>
              </w:rPr>
              <w:t>产品名称</w:t>
            </w:r>
          </w:p>
        </w:tc>
        <w:tc>
          <w:tcPr>
            <w:tcW w:w="4458" w:type="dxa"/>
            <w:noWrap w:val="0"/>
            <w:vAlign w:val="center"/>
          </w:tcPr>
          <w:p>
            <w:pPr>
              <w:jc w:val="center"/>
              <w:rPr>
                <w:rFonts w:hint="default" w:ascii="Times New Roman" w:hAnsi="Times New Roman" w:eastAsia="仿宋_GB2312" w:cs="Times New Roman"/>
                <w:bCs/>
                <w:sz w:val="24"/>
                <w:szCs w:val="24"/>
              </w:rPr>
            </w:pPr>
            <w:r>
              <w:rPr>
                <w:rFonts w:hint="default" w:ascii="Times New Roman" w:hAnsi="Times New Roman" w:eastAsia="仿宋_GB2312" w:cs="Times New Roman"/>
                <w:bCs/>
                <w:sz w:val="24"/>
                <w:szCs w:val="24"/>
              </w:rPr>
              <w:t>抽样数量和方法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809" w:type="dxa"/>
            <w:noWrap w:val="0"/>
            <w:vAlign w:val="center"/>
          </w:tcPr>
          <w:p>
            <w:pPr>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1</w:t>
            </w:r>
          </w:p>
        </w:tc>
        <w:tc>
          <w:tcPr>
            <w:tcW w:w="3255" w:type="dxa"/>
            <w:noWrap w:val="0"/>
            <w:vAlign w:val="center"/>
          </w:tcPr>
          <w:p>
            <w:pPr>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广播发射机（短波调幅广播发射机）</w:t>
            </w:r>
          </w:p>
        </w:tc>
        <w:tc>
          <w:tcPr>
            <w:tcW w:w="4458" w:type="dxa"/>
            <w:noWrap w:val="0"/>
            <w:vAlign w:val="center"/>
          </w:tcPr>
          <w:p>
            <w:pPr>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r>
              <w:rPr>
                <w:rFonts w:hint="default" w:ascii="Times New Roman" w:hAnsi="Times New Roman" w:cs="Times New Roman"/>
                <w:sz w:val="24"/>
                <w:szCs w:val="24"/>
                <w:lang w:val="en-US" w:eastAsia="zh-CN"/>
              </w:rPr>
              <w:t>.</w:t>
            </w:r>
            <w:r>
              <w:rPr>
                <w:rFonts w:hint="default" w:ascii="Times New Roman" w:hAnsi="Times New Roman" w:eastAsia="仿宋_GB2312" w:cs="Times New Roman"/>
                <w:sz w:val="24"/>
                <w:szCs w:val="24"/>
              </w:rPr>
              <w:t>样品基数≥1；</w:t>
            </w:r>
          </w:p>
          <w:p>
            <w:pPr>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r>
              <w:rPr>
                <w:rFonts w:hint="default" w:ascii="Times New Roman" w:hAnsi="Times New Roman" w:cs="Times New Roman"/>
                <w:sz w:val="24"/>
                <w:szCs w:val="24"/>
                <w:lang w:val="en-US" w:eastAsia="zh-CN"/>
              </w:rPr>
              <w:t>.</w:t>
            </w:r>
            <w:r>
              <w:rPr>
                <w:rFonts w:hint="default" w:ascii="Times New Roman" w:hAnsi="Times New Roman" w:eastAsia="仿宋_GB2312" w:cs="Times New Roman"/>
                <w:sz w:val="24"/>
                <w:szCs w:val="24"/>
              </w:rPr>
              <w:t>抽取1个样本用于检验。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809" w:type="dxa"/>
            <w:noWrap w:val="0"/>
            <w:vAlign w:val="center"/>
          </w:tcPr>
          <w:p>
            <w:pPr>
              <w:jc w:val="center"/>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rPr>
              <w:t>2</w:t>
            </w:r>
          </w:p>
        </w:tc>
        <w:tc>
          <w:tcPr>
            <w:tcW w:w="3255" w:type="dxa"/>
            <w:noWrap w:val="0"/>
            <w:vAlign w:val="center"/>
          </w:tcPr>
          <w:p>
            <w:pPr>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电视发射机（地面数字电视广播发射机）</w:t>
            </w:r>
          </w:p>
        </w:tc>
        <w:tc>
          <w:tcPr>
            <w:tcW w:w="4458" w:type="dxa"/>
            <w:noWrap w:val="0"/>
            <w:vAlign w:val="center"/>
          </w:tcPr>
          <w:p>
            <w:pPr>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1</w:t>
            </w:r>
            <w:r>
              <w:rPr>
                <w:rFonts w:hint="default" w:ascii="Times New Roman" w:hAnsi="Times New Roman" w:cs="Times New Roman"/>
                <w:color w:val="auto"/>
                <w:sz w:val="24"/>
                <w:szCs w:val="24"/>
                <w:lang w:val="en-US" w:eastAsia="zh-CN"/>
              </w:rPr>
              <w:t>.</w:t>
            </w:r>
            <w:r>
              <w:rPr>
                <w:rFonts w:hint="default" w:ascii="Times New Roman" w:hAnsi="Times New Roman" w:eastAsia="仿宋_GB2312" w:cs="Times New Roman"/>
                <w:color w:val="auto"/>
                <w:sz w:val="24"/>
                <w:szCs w:val="24"/>
              </w:rPr>
              <w:t>样品基数≥1；</w:t>
            </w:r>
          </w:p>
          <w:p>
            <w:pPr>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w:t>
            </w:r>
            <w:r>
              <w:rPr>
                <w:rFonts w:hint="default" w:ascii="Times New Roman" w:hAnsi="Times New Roman" w:cs="Times New Roman"/>
                <w:color w:val="auto"/>
                <w:sz w:val="24"/>
                <w:szCs w:val="24"/>
                <w:lang w:val="en-US" w:eastAsia="zh-CN"/>
              </w:rPr>
              <w:t>.</w:t>
            </w:r>
            <w:r>
              <w:rPr>
                <w:rFonts w:hint="default" w:ascii="Times New Roman" w:hAnsi="Times New Roman" w:eastAsia="仿宋_GB2312" w:cs="Times New Roman"/>
                <w:color w:val="auto"/>
                <w:sz w:val="24"/>
                <w:szCs w:val="24"/>
              </w:rPr>
              <w:t>抽取1个样本用于检验。</w:t>
            </w:r>
          </w:p>
        </w:tc>
      </w:tr>
    </w:tbl>
    <w:p>
      <w:pPr>
        <w:keepNext w:val="0"/>
        <w:keepLines w:val="0"/>
        <w:pageBreakBefore w:val="0"/>
        <w:widowControl w:val="0"/>
        <w:kinsoku/>
        <w:wordWrap/>
        <w:overflowPunct/>
        <w:topLinePunct w:val="0"/>
        <w:autoSpaceDE w:val="0"/>
        <w:autoSpaceDN w:val="0"/>
        <w:bidi w:val="0"/>
        <w:adjustRightInd/>
        <w:snapToGrid/>
        <w:spacing w:line="240" w:lineRule="exact"/>
        <w:ind w:firstLine="640" w:firstLineChars="200"/>
        <w:textAlignment w:val="auto"/>
        <w:rPr>
          <w:rFonts w:hint="default" w:ascii="Times New Roman" w:hAnsi="Times New Roman" w:eastAsia="仿宋_GB2312" w:cs="Times New Roman"/>
          <w:kern w:val="0"/>
          <w:sz w:val="32"/>
          <w:szCs w:val="32"/>
        </w:rPr>
      </w:pP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确定被抽样对象应符合T/GDAQI 020-202</w:t>
      </w:r>
      <w:r>
        <w:rPr>
          <w:rFonts w:hint="default"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rPr>
        <w:t>《产品质量监督抽查抽样检验技术服务规范》5.3.3.3和第6章抽样的相关要求。</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抽查样品基数满足抽样数量即可，根据实际抽取样品数量，抽取样品应为同一型号规格、同一批次的产品。</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检验样品和备用样品应分别签封，确保防止拆封、封条完整、清晰，并注明“检验样品”或“备用样品”，一起寄/送给检验机构。封样单上应有被抽查企业和抽样人员双方的签名，注明抽样日期，并采用透明胶带缠裹。封好样后，可采取拍照、封样单骑缝签名、漆封、特殊材料等其他附加的防拆封措施。在运送过程中应注意对样品外表面及端头进行适当防护，避免出现磕碰、磨损，尤其避免端头雨淋、进水等情况，必要时可进行塑封。</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另外，对于不便运输的设备（如大型广播发射机、大型电视发射机等），抽样人员按上述规定进行现场封存，后续检验工作由检验人员现场完成。</w:t>
      </w:r>
    </w:p>
    <w:p>
      <w:pPr>
        <w:numPr>
          <w:ilvl w:val="0"/>
          <w:numId w:val="0"/>
        </w:numPr>
        <w:autoSpaceDE w:val="0"/>
        <w:autoSpaceDN w:val="0"/>
        <w:spacing w:line="600" w:lineRule="exact"/>
        <w:ind w:firstLine="640" w:firstLineChars="200"/>
        <w:rPr>
          <w:rFonts w:hint="default" w:ascii="Times New Roman" w:hAnsi="Times New Roman" w:eastAsia="楷体_GB2312" w:cs="Times New Roman"/>
          <w:sz w:val="32"/>
          <w:szCs w:val="32"/>
          <w:lang w:eastAsia="zh-CN"/>
        </w:rPr>
      </w:pPr>
      <w:r>
        <w:rPr>
          <w:rFonts w:hint="default" w:ascii="Times New Roman" w:hAnsi="Times New Roman" w:eastAsia="黑体" w:cs="Times New Roman"/>
          <w:sz w:val="32"/>
          <w:szCs w:val="32"/>
        </w:rPr>
        <w:t>二、主要检验项目及检验项目属性划分</w:t>
      </w:r>
    </w:p>
    <w:p>
      <w:pPr>
        <w:numPr>
          <w:ilvl w:val="0"/>
          <w:numId w:val="0"/>
        </w:num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（一）</w:t>
      </w:r>
      <w:r>
        <w:rPr>
          <w:rFonts w:hint="default" w:ascii="Times New Roman" w:hAnsi="Times New Roman" w:eastAsia="楷体_GB2312" w:cs="Times New Roman"/>
          <w:sz w:val="32"/>
          <w:szCs w:val="32"/>
        </w:rPr>
        <w:t>广播发射机（短波调幅广播发射机）</w:t>
      </w:r>
    </w:p>
    <w:tbl>
      <w:tblPr>
        <w:tblStyle w:val="4"/>
        <w:tblW w:w="8522" w:type="dxa"/>
        <w:jc w:val="center"/>
        <w:tblInd w:w="0" w:type="dxa"/>
        <w:tblLayout w:type="fixed"/>
        <w:tblCellMar>
          <w:top w:w="0" w:type="dxa"/>
          <w:left w:w="108" w:type="dxa"/>
          <w:bottom w:w="0" w:type="dxa"/>
          <w:right w:w="108" w:type="dxa"/>
        </w:tblCellMar>
      </w:tblPr>
      <w:tblGrid>
        <w:gridCol w:w="850"/>
        <w:gridCol w:w="1658"/>
        <w:gridCol w:w="2059"/>
        <w:gridCol w:w="791"/>
        <w:gridCol w:w="791"/>
        <w:gridCol w:w="791"/>
        <w:gridCol w:w="791"/>
        <w:gridCol w:w="791"/>
      </w:tblGrid>
      <w:tr>
        <w:tblPrEx>
          <w:tblLayout w:type="fixed"/>
          <w:tblCellMar>
            <w:top w:w="0" w:type="dxa"/>
            <w:left w:w="108" w:type="dxa"/>
            <w:bottom w:w="0" w:type="dxa"/>
            <w:right w:w="108" w:type="dxa"/>
          </w:tblCellMar>
        </w:tblPrEx>
        <w:trPr>
          <w:trHeight w:val="454" w:hRule="atLeast"/>
          <w:tblHeader/>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序号</w:t>
            </w:r>
          </w:p>
        </w:tc>
        <w:tc>
          <w:tcPr>
            <w:tcW w:w="165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检验项目</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检验方法</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强制性</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非强制性</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重要项</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较重要项</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次要项</w:t>
            </w: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频段范围</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GY/T 225-2007</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nil"/>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频率容限</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GY/T 225-2007</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nil"/>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载波输出功率变化</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GY/T 225-2007</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nil"/>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音频频率响应</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GY/T 225-2007</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nil"/>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658" w:type="dxa"/>
            <w:tcBorders>
              <w:top w:val="nil"/>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谐波失真</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GY/T 225-2007</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nil"/>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658" w:type="dxa"/>
            <w:tcBorders>
              <w:top w:val="nil"/>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信噪比</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GY/T 225-2007</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sz w:val="24"/>
                <w:szCs w:val="24"/>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0" w:firstLineChars="0"/>
        <w:textAlignment w:val="auto"/>
        <w:rPr>
          <w:rFonts w:hint="default" w:ascii="Times New Roman" w:hAnsi="Times New Roman" w:eastAsia="楷体_GB2312" w:cs="Times New Roman"/>
          <w:sz w:val="32"/>
          <w:szCs w:val="32"/>
          <w:lang w:eastAsia="zh-CN"/>
        </w:rPr>
      </w:pPr>
    </w:p>
    <w:p>
      <w:pPr>
        <w:numPr>
          <w:ilvl w:val="0"/>
          <w:numId w:val="0"/>
        </w:numPr>
        <w:spacing w:line="600" w:lineRule="exact"/>
        <w:ind w:firstLine="640" w:firstLineChars="200"/>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lang w:eastAsia="zh-CN"/>
        </w:rPr>
        <w:t>（二）</w:t>
      </w:r>
      <w:r>
        <w:rPr>
          <w:rFonts w:hint="default" w:ascii="Times New Roman" w:hAnsi="Times New Roman" w:eastAsia="楷体_GB2312" w:cs="Times New Roman"/>
          <w:color w:val="auto"/>
          <w:sz w:val="32"/>
          <w:szCs w:val="32"/>
        </w:rPr>
        <w:t>电视发射机（地面数字电视广播发射机）</w:t>
      </w:r>
    </w:p>
    <w:tbl>
      <w:tblPr>
        <w:tblStyle w:val="4"/>
        <w:tblW w:w="8522" w:type="dxa"/>
        <w:jc w:val="center"/>
        <w:tblInd w:w="0" w:type="dxa"/>
        <w:tblLayout w:type="fixed"/>
        <w:tblCellMar>
          <w:top w:w="0" w:type="dxa"/>
          <w:left w:w="108" w:type="dxa"/>
          <w:bottom w:w="0" w:type="dxa"/>
          <w:right w:w="108" w:type="dxa"/>
        </w:tblCellMar>
      </w:tblPr>
      <w:tblGrid>
        <w:gridCol w:w="850"/>
        <w:gridCol w:w="1658"/>
        <w:gridCol w:w="2059"/>
        <w:gridCol w:w="791"/>
        <w:gridCol w:w="791"/>
        <w:gridCol w:w="791"/>
        <w:gridCol w:w="791"/>
        <w:gridCol w:w="791"/>
      </w:tblGrid>
      <w:tr>
        <w:tblPrEx>
          <w:tblLayout w:type="fixed"/>
          <w:tblCellMar>
            <w:top w:w="0" w:type="dxa"/>
            <w:left w:w="108" w:type="dxa"/>
            <w:bottom w:w="0" w:type="dxa"/>
            <w:right w:w="108" w:type="dxa"/>
          </w:tblCellMar>
        </w:tblPrEx>
        <w:trPr>
          <w:trHeight w:val="454" w:hRule="atLeast"/>
          <w:tblHeader/>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color w:val="auto"/>
                <w:sz w:val="24"/>
                <w:szCs w:val="24"/>
              </w:rPr>
            </w:pPr>
            <w:r>
              <w:rPr>
                <w:rFonts w:hint="default" w:ascii="Times New Roman" w:hAnsi="Times New Roman" w:eastAsia="仿宋_GB2312" w:cs="Times New Roman"/>
                <w:b/>
                <w:bCs/>
                <w:color w:val="auto"/>
                <w:sz w:val="24"/>
                <w:szCs w:val="24"/>
              </w:rPr>
              <w:t>序号</w:t>
            </w:r>
          </w:p>
        </w:tc>
        <w:tc>
          <w:tcPr>
            <w:tcW w:w="165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color w:val="auto"/>
                <w:sz w:val="24"/>
                <w:szCs w:val="24"/>
              </w:rPr>
            </w:pPr>
            <w:r>
              <w:rPr>
                <w:rFonts w:hint="default" w:ascii="Times New Roman" w:hAnsi="Times New Roman" w:eastAsia="仿宋_GB2312" w:cs="Times New Roman"/>
                <w:b/>
                <w:bCs/>
                <w:color w:val="auto"/>
                <w:sz w:val="24"/>
                <w:szCs w:val="24"/>
              </w:rPr>
              <w:t>检验项目</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color w:val="auto"/>
                <w:sz w:val="24"/>
                <w:szCs w:val="24"/>
              </w:rPr>
            </w:pPr>
            <w:r>
              <w:rPr>
                <w:rFonts w:hint="default" w:ascii="Times New Roman" w:hAnsi="Times New Roman" w:eastAsia="仿宋_GB2312" w:cs="Times New Roman"/>
                <w:b/>
                <w:bCs/>
                <w:color w:val="auto"/>
                <w:sz w:val="24"/>
                <w:szCs w:val="24"/>
              </w:rPr>
              <w:t>检验方法</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color w:val="auto"/>
                <w:sz w:val="24"/>
                <w:szCs w:val="24"/>
              </w:rPr>
            </w:pPr>
            <w:r>
              <w:rPr>
                <w:rFonts w:hint="default" w:ascii="Times New Roman" w:hAnsi="Times New Roman" w:eastAsia="仿宋_GB2312" w:cs="Times New Roman"/>
                <w:b/>
                <w:bCs/>
                <w:color w:val="auto"/>
                <w:sz w:val="24"/>
                <w:szCs w:val="24"/>
              </w:rPr>
              <w:t>强制性</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color w:val="auto"/>
                <w:sz w:val="24"/>
                <w:szCs w:val="24"/>
              </w:rPr>
            </w:pPr>
            <w:r>
              <w:rPr>
                <w:rFonts w:hint="default" w:ascii="Times New Roman" w:hAnsi="Times New Roman" w:eastAsia="仿宋_GB2312" w:cs="Times New Roman"/>
                <w:b/>
                <w:bCs/>
                <w:color w:val="auto"/>
                <w:sz w:val="24"/>
                <w:szCs w:val="24"/>
              </w:rPr>
              <w:t>非强制性</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color w:val="auto"/>
                <w:sz w:val="24"/>
                <w:szCs w:val="24"/>
              </w:rPr>
            </w:pPr>
            <w:r>
              <w:rPr>
                <w:rFonts w:hint="default" w:ascii="Times New Roman" w:hAnsi="Times New Roman" w:eastAsia="仿宋_GB2312" w:cs="Times New Roman"/>
                <w:b/>
                <w:bCs/>
                <w:color w:val="auto"/>
                <w:sz w:val="24"/>
                <w:szCs w:val="24"/>
              </w:rPr>
              <w:t>重要项</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color w:val="auto"/>
                <w:sz w:val="24"/>
                <w:szCs w:val="24"/>
              </w:rPr>
            </w:pPr>
            <w:r>
              <w:rPr>
                <w:rFonts w:hint="default" w:ascii="Times New Roman" w:hAnsi="Times New Roman" w:eastAsia="仿宋_GB2312" w:cs="Times New Roman"/>
                <w:b/>
                <w:bCs/>
                <w:color w:val="auto"/>
                <w:sz w:val="24"/>
                <w:szCs w:val="24"/>
              </w:rPr>
              <w:t>较重要项</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b/>
                <w:bCs/>
                <w:color w:val="auto"/>
                <w:sz w:val="24"/>
                <w:szCs w:val="24"/>
              </w:rPr>
            </w:pPr>
            <w:r>
              <w:rPr>
                <w:rFonts w:hint="default" w:ascii="Times New Roman" w:hAnsi="Times New Roman" w:eastAsia="仿宋_GB2312" w:cs="Times New Roman"/>
                <w:b/>
                <w:bCs/>
                <w:color w:val="auto"/>
                <w:sz w:val="24"/>
                <w:szCs w:val="24"/>
              </w:rPr>
              <w:t>次要项</w:t>
            </w: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1</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工作频率</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GB/T 28435-2012</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单频网模式频率调整步长</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GB/T 28435-2012</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3</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频率准确度</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GB/T 28435-2012</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4</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本振相位噪声</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GB/T 28435-2012</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5</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射频输出功率稳定度</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GB/T 28435-2012</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6</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带外频谱特性</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GB/T 28435-2012</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7</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带肩</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GB/T 28435-2012</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8</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邻频道内无用发射功率</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GB/T 28435-2012</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9</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邻频道外无用发射功率</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GB/T 28435-2012</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r>
      <w:tr>
        <w:tblPrEx>
          <w:tblLayout w:type="fixed"/>
          <w:tblCellMar>
            <w:top w:w="0" w:type="dxa"/>
            <w:left w:w="108" w:type="dxa"/>
            <w:bottom w:w="0" w:type="dxa"/>
            <w:right w:w="108" w:type="dxa"/>
          </w:tblCellMar>
        </w:tblPrEx>
        <w:trPr>
          <w:trHeight w:val="45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10</w:t>
            </w:r>
          </w:p>
        </w:tc>
        <w:tc>
          <w:tcPr>
            <w:tcW w:w="165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调制误差率（MER）</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GB/T 28435-2012</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w:t>
            </w: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Times New Roman" w:hAnsi="Times New Roman" w:eastAsia="仿宋_GB2312" w:cs="Times New Roman"/>
                <w:color w:val="auto"/>
                <w:sz w:val="24"/>
                <w:szCs w:val="24"/>
              </w:rPr>
            </w:pPr>
          </w:p>
        </w:tc>
      </w:tr>
    </w:tbl>
    <w:p>
      <w:pPr>
        <w:keepNext w:val="0"/>
        <w:keepLines w:val="0"/>
        <w:pageBreakBefore w:val="0"/>
        <w:widowControl w:val="0"/>
        <w:kinsoku/>
        <w:wordWrap/>
        <w:overflowPunct/>
        <w:topLinePunct w:val="0"/>
        <w:autoSpaceDE/>
        <w:autoSpaceDN/>
        <w:bidi w:val="0"/>
        <w:adjustRightInd/>
        <w:snapToGrid/>
        <w:spacing w:line="240" w:lineRule="exact"/>
        <w:ind w:firstLine="640" w:firstLineChars="200"/>
        <w:textAlignment w:val="auto"/>
        <w:rPr>
          <w:rFonts w:hint="default" w:ascii="Times New Roman" w:hAnsi="Times New Roman" w:eastAsia="黑体" w:cs="Times New Roman"/>
          <w:sz w:val="32"/>
          <w:szCs w:val="32"/>
        </w:rPr>
      </w:pPr>
    </w:p>
    <w:p>
      <w:pPr>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spacing w:line="58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（一）依据标准</w:t>
      </w:r>
    </w:p>
    <w:p>
      <w:pPr>
        <w:numPr>
          <w:ilvl w:val="0"/>
          <w:numId w:val="0"/>
        </w:numPr>
        <w:spacing w:line="580" w:lineRule="exact"/>
        <w:ind w:left="0"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1.</w:t>
      </w:r>
      <w:r>
        <w:rPr>
          <w:rFonts w:hint="default" w:ascii="Times New Roman" w:hAnsi="Times New Roman" w:eastAsia="楷体_GB2312" w:cs="Times New Roman"/>
          <w:sz w:val="32"/>
          <w:szCs w:val="32"/>
        </w:rPr>
        <w:t>广播发射机（短波调幅广播发射机）</w:t>
      </w:r>
      <w:r>
        <w:rPr>
          <w:rFonts w:hint="default" w:ascii="Times New Roman" w:hAnsi="Times New Roman" w:eastAsia="楷体_GB2312" w:cs="Times New Roman"/>
          <w:sz w:val="32"/>
          <w:szCs w:val="32"/>
          <w:lang w:eastAsia="zh-CN"/>
        </w:rPr>
        <w:t>。</w:t>
      </w:r>
    </w:p>
    <w:p>
      <w:pPr>
        <w:numPr>
          <w:ilvl w:val="0"/>
          <w:numId w:val="0"/>
        </w:numPr>
        <w:autoSpaceDE w:val="0"/>
        <w:autoSpaceDN w:val="0"/>
        <w:spacing w:line="58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GY/T 225-2007《中、短波调幅广播发射机技术要求和测量方法》</w:t>
      </w:r>
    </w:p>
    <w:p>
      <w:pPr>
        <w:numPr>
          <w:ilvl w:val="0"/>
          <w:numId w:val="0"/>
        </w:numPr>
        <w:autoSpaceDE/>
        <w:autoSpaceDN/>
        <w:spacing w:line="580" w:lineRule="exact"/>
        <w:ind w:firstLine="640" w:firstLineChars="200"/>
        <w:rPr>
          <w:rFonts w:hint="default" w:ascii="Times New Roman" w:hAnsi="Times New Roman" w:eastAsia="楷体_GB2312" w:cs="Times New Roman"/>
          <w:color w:val="auto"/>
          <w:kern w:val="2"/>
          <w:sz w:val="32"/>
          <w:szCs w:val="32"/>
        </w:rPr>
      </w:pPr>
      <w:r>
        <w:rPr>
          <w:rFonts w:hint="default" w:ascii="Times New Roman" w:hAnsi="Times New Roman" w:eastAsia="楷体_GB2312" w:cs="Times New Roman"/>
          <w:color w:val="auto"/>
          <w:sz w:val="32"/>
          <w:szCs w:val="32"/>
          <w:lang w:val="en-US" w:eastAsia="zh-CN"/>
        </w:rPr>
        <w:t>2.</w:t>
      </w:r>
      <w:r>
        <w:rPr>
          <w:rFonts w:hint="default" w:ascii="Times New Roman" w:hAnsi="Times New Roman" w:eastAsia="楷体_GB2312" w:cs="Times New Roman"/>
          <w:color w:val="auto"/>
          <w:sz w:val="32"/>
          <w:szCs w:val="32"/>
        </w:rPr>
        <w:t>电视发射机（地面数字电视广播发射机）</w:t>
      </w:r>
      <w:r>
        <w:rPr>
          <w:rFonts w:hint="default" w:ascii="Times New Roman" w:hAnsi="Times New Roman" w:eastAsia="楷体_GB2312" w:cs="Times New Roman"/>
          <w:color w:val="auto"/>
          <w:sz w:val="32"/>
          <w:szCs w:val="32"/>
          <w:lang w:eastAsia="zh-CN"/>
        </w:rPr>
        <w:t>。</w:t>
      </w:r>
    </w:p>
    <w:p>
      <w:pPr>
        <w:numPr>
          <w:ilvl w:val="0"/>
          <w:numId w:val="0"/>
        </w:numPr>
        <w:autoSpaceDE w:val="0"/>
        <w:autoSpaceDN w:val="0"/>
        <w:spacing w:line="580" w:lineRule="exact"/>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GB/T 28435-2012《地面数字电视广播发射机技术要求和测量方法》</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现行有效的企业标准、团体标准、地方标准及产品明示质量要求。</w:t>
      </w:r>
    </w:p>
    <w:p>
      <w:pPr>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（二）判定原则</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经检验，检验项目全部合格，</w:t>
      </w:r>
      <w:r>
        <w:rPr>
          <w:rFonts w:hint="default" w:ascii="Times New Roman" w:hAnsi="Times New Roman" w:eastAsia="仿宋_GB2312" w:cs="Times New Roman"/>
          <w:sz w:val="32"/>
          <w:szCs w:val="32"/>
        </w:rPr>
        <w:t>判定为抽取的样本所检项目未检出不合格；</w:t>
      </w:r>
      <w:r>
        <w:rPr>
          <w:rFonts w:hint="default" w:ascii="Times New Roman" w:hAnsi="Times New Roman" w:eastAsia="仿宋_GB2312" w:cs="Times New Roman"/>
          <w:kern w:val="0"/>
          <w:sz w:val="32"/>
          <w:szCs w:val="32"/>
        </w:rPr>
        <w:t>检验项目中任一项或一项以上不合格，判定为被抽查产品不合格。</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当被检产品明示的质量要求高于本细则中检验项目依据的标准要求时，应按被检产品明示的质量要求判定。</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当被检产品明示的质量要求低于本细则中检验项目依据的强制性标准要求时，应按照强制性标准要求判定。</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当被检产品明示的质量要求低于或包含本细则中检验项目依据的推荐性标准要求时，应以被检产品明示的质量要求判定。</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当被检产品明示的质量要求缺少本细则中检验项目依据的强制性标准要求时，应按照强制性标准要求判定。</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当被检产品明示的质量要求缺少本细则中检验项目依据的推荐性标准要求时，该项目不参与判定。</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当被检样品未能提供有效的企业标准时，按相关国家或行业标准进行判定。</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当被检样品标签标识中执行标准信息和产品类别信息不明或有误，影响检测和判定时，可根据产品特点等信息判断和选择相关标准进行检验，并应在检验报告中作出相关说明。</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按照产品质量相关法律法规的规定判定。</w:t>
      </w:r>
    </w:p>
    <w:p>
      <w:pPr>
        <w:autoSpaceDE w:val="0"/>
        <w:autoSpaceDN w:val="0"/>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0" w:usb1="00000000" w:usb2="00000000" w:usb3="00000000" w:csb0="0000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8324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jc w:val="center"/>
      <w:outlineLvl w:val="0"/>
    </w:pPr>
    <w:rPr>
      <w:rFonts w:ascii="方正小标宋简体" w:eastAsia="方正小标宋简体"/>
      <w:kern w:val="44"/>
      <w:sz w:val="38"/>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2022-11-04T10:15:18Z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